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2A6" w:rsidRPr="000D5AB7" w:rsidRDefault="000D5AB7" w:rsidP="000D5AB7">
      <w:pPr>
        <w:pStyle w:val="11"/>
        <w:spacing w:line="276" w:lineRule="auto"/>
        <w:jc w:val="center"/>
        <w:rPr>
          <w:rFonts w:ascii="Times New Roman" w:hAnsi="Times New Roman" w:cs="Times New Roman"/>
          <w:b/>
          <w:i/>
          <w:caps/>
          <w:sz w:val="24"/>
          <w:szCs w:val="24"/>
          <w:lang w:val="ro-RO"/>
        </w:rPr>
      </w:pPr>
      <w:r w:rsidRPr="00025BDD">
        <w:rPr>
          <w:rFonts w:ascii="Times New Roman" w:hAnsi="Times New Roman" w:cs="Times New Roman"/>
          <w:sz w:val="24"/>
          <w:szCs w:val="24"/>
          <w:lang w:val="pt-BR"/>
        </w:rPr>
        <w:t xml:space="preserve">Volumul activității farmaceutice acordate de farmaciști-rezidenți și limitele de competență la specialitatea </w:t>
      </w:r>
      <w:r>
        <w:rPr>
          <w:rFonts w:ascii="Times New Roman" w:hAnsi="Times New Roman" w:cs="Times New Roman"/>
          <w:b/>
          <w:i/>
          <w:caps/>
          <w:sz w:val="24"/>
          <w:szCs w:val="24"/>
          <w:lang w:val="pt-BR"/>
        </w:rPr>
        <w:t>Farmacie analitic</w:t>
      </w:r>
      <w:r>
        <w:rPr>
          <w:rFonts w:ascii="Times New Roman" w:hAnsi="Times New Roman" w:cs="Times New Roman"/>
          <w:b/>
          <w:i/>
          <w:caps/>
          <w:sz w:val="24"/>
          <w:szCs w:val="24"/>
          <w:lang w:val="ro-RO"/>
        </w:rPr>
        <w:t>ă</w:t>
      </w:r>
      <w:r w:rsidR="008852A6" w:rsidRPr="007231A4">
        <w:rPr>
          <w:rFonts w:cs="Times New Roman"/>
          <w:b/>
          <w:sz w:val="28"/>
          <w:szCs w:val="28"/>
        </w:rPr>
        <w:t>, pe</w:t>
      </w:r>
      <w:r w:rsidR="00623DD8">
        <w:rPr>
          <w:rFonts w:cs="Times New Roman"/>
          <w:b/>
          <w:sz w:val="28"/>
          <w:szCs w:val="28"/>
        </w:rPr>
        <w:t xml:space="preserve"> </w:t>
      </w:r>
      <w:r w:rsidR="008852A6" w:rsidRPr="007231A4">
        <w:rPr>
          <w:rFonts w:cs="Times New Roman"/>
          <w:b/>
          <w:sz w:val="28"/>
          <w:szCs w:val="28"/>
        </w:rPr>
        <w:t>ani de instruire</w:t>
      </w:r>
    </w:p>
    <w:p w:rsidR="0024079A" w:rsidRPr="007231A4" w:rsidRDefault="0024079A" w:rsidP="0024079A">
      <w:pPr>
        <w:rPr>
          <w:rFonts w:cs="Times New Roman"/>
          <w:b/>
          <w:sz w:val="28"/>
          <w:szCs w:val="28"/>
        </w:rPr>
      </w:pPr>
      <w:r w:rsidRPr="007231A4">
        <w:rPr>
          <w:rFonts w:cs="Times New Roman"/>
          <w:b/>
          <w:sz w:val="28"/>
          <w:szCs w:val="28"/>
        </w:rPr>
        <w:t>Interpretare – I</w:t>
      </w:r>
    </w:p>
    <w:p w:rsidR="0024079A" w:rsidRPr="007231A4" w:rsidRDefault="0024079A" w:rsidP="0024079A">
      <w:pPr>
        <w:rPr>
          <w:rFonts w:cs="Times New Roman"/>
          <w:b/>
          <w:sz w:val="28"/>
          <w:szCs w:val="28"/>
        </w:rPr>
      </w:pPr>
      <w:r w:rsidRPr="007231A4">
        <w:rPr>
          <w:rFonts w:cs="Times New Roman"/>
          <w:b/>
          <w:sz w:val="28"/>
          <w:szCs w:val="28"/>
        </w:rPr>
        <w:t>Asistare – A</w:t>
      </w:r>
    </w:p>
    <w:p w:rsidR="0024079A" w:rsidRPr="007231A4" w:rsidRDefault="0024079A" w:rsidP="0024079A">
      <w:pPr>
        <w:rPr>
          <w:rFonts w:cs="Times New Roman"/>
          <w:b/>
          <w:sz w:val="28"/>
          <w:szCs w:val="28"/>
        </w:rPr>
      </w:pPr>
      <w:r w:rsidRPr="007231A4">
        <w:rPr>
          <w:rFonts w:cs="Times New Roman"/>
          <w:b/>
          <w:sz w:val="28"/>
          <w:szCs w:val="28"/>
        </w:rPr>
        <w:t>Executare - E</w:t>
      </w:r>
    </w:p>
    <w:tbl>
      <w:tblPr>
        <w:tblStyle w:val="a6"/>
        <w:tblW w:w="10494" w:type="dxa"/>
        <w:tblLook w:val="01E0"/>
      </w:tblPr>
      <w:tblGrid>
        <w:gridCol w:w="8802"/>
        <w:gridCol w:w="1692"/>
      </w:tblGrid>
      <w:tr w:rsidR="000D5AB7" w:rsidRPr="000D5AB7" w:rsidTr="000D5AB7">
        <w:trPr>
          <w:trHeight w:val="145"/>
        </w:trPr>
        <w:tc>
          <w:tcPr>
            <w:tcW w:w="8802" w:type="dxa"/>
            <w:shd w:val="clear" w:color="auto" w:fill="C6D9F1" w:themeFill="text2" w:themeFillTint="33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0D5AB7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COMPETENȚE DE ACTIVITATE FARMACEUTICĂ </w:t>
            </w:r>
          </w:p>
        </w:tc>
        <w:tc>
          <w:tcPr>
            <w:tcW w:w="1692" w:type="dxa"/>
            <w:shd w:val="clear" w:color="auto" w:fill="C6D9F1" w:themeFill="text2" w:themeFillTint="33"/>
          </w:tcPr>
          <w:p w:rsidR="000D5AB7" w:rsidRPr="000D5AB7" w:rsidRDefault="000D5AB7" w:rsidP="000D5AB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0D5AB7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VOLUMUL (Nr. de interpretări, activități, proceduri etc.) </w:t>
            </w: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  <w:shd w:val="clear" w:color="auto" w:fill="DBE5F1" w:themeFill="accent1" w:themeFillTint="33"/>
          </w:tcPr>
          <w:p w:rsidR="000D5AB7" w:rsidRPr="000D5AB7" w:rsidRDefault="000D5AB7" w:rsidP="000D5A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pt-BR"/>
              </w:rPr>
            </w:pPr>
            <w:r w:rsidRPr="000D5AB7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pt-BR"/>
              </w:rPr>
              <w:t>Pentru toȚi anii de studii</w:t>
            </w:r>
          </w:p>
        </w:tc>
        <w:tc>
          <w:tcPr>
            <w:tcW w:w="1692" w:type="dxa"/>
            <w:shd w:val="clear" w:color="auto" w:fill="DBE5F1" w:themeFill="accent1" w:themeFillTint="33"/>
          </w:tcPr>
          <w:p w:rsidR="000D5AB7" w:rsidRPr="000D5AB7" w:rsidRDefault="000D5AB7" w:rsidP="000D5AB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0D5AB7" w:rsidRDefault="000D5AB7" w:rsidP="00BC21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Abilități de activitate în calitate de farmacist primar în farmacii comunitare, laboratoare de analiză, întreprinderi farmaceutice;  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(an.1). 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6143E4" w:rsidRDefault="000D5AB7" w:rsidP="000D5A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Impreună cu analistul repsonsabil perfectează documetaţia de înregistrare a analizelor, de evidență a lucrului cu aparate și utilaj; 10 manopere interpretate</w:t>
            </w:r>
          </w:p>
          <w:p w:rsidR="000D5AB7" w:rsidRPr="000D5AB7" w:rsidRDefault="000D5AB7" w:rsidP="00BC21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selectează reagenții și solvenții necesari; pregătește aparatajul și utilajul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(an.1). 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6143E4" w:rsidRDefault="000D5AB7" w:rsidP="00BC21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Impreună cu analistul repsonsabil efectuează analize și prelucrează rezultatele obținute; 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(an.1). 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6143E4" w:rsidRDefault="000D5AB7" w:rsidP="00BC21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Activeaza în laboratorul de analiză  în calitate de farmacist analist primar. Efectuează analiza farmacopeică a substanțelor farmaceutice și a formelor medicamentoase; 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(an.1). 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Cunoașterea managementului calității serviciilor farmaceutice, legislației farmaceutice și marketingului farmaceutic.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(an.1). 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Efectuarea analizei și controlului medicamentelor.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(an.1). 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Caracterizarea fitopreparatelor înregistrate în Republica Moldova și plantelor medicinale folosite la fabricarea lor.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(an.1). 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6143E4">
              <w:rPr>
                <w:rFonts w:ascii="Times New Roman" w:hAnsi="Times New Roman" w:cs="Times New Roman"/>
                <w:color w:val="222222"/>
                <w:sz w:val="24"/>
                <w:szCs w:val="24"/>
                <w:lang w:val="it-IT" w:eastAsia="ru-RU"/>
              </w:rPr>
              <w:t>Examinarea</w:t>
            </w:r>
            <w:r w:rsidRPr="006143E4">
              <w:rPr>
                <w:rFonts w:ascii="Times New Roman" w:hAnsi="Times New Roman" w:cs="Times New Roman"/>
                <w:color w:val="222222"/>
                <w:sz w:val="24"/>
                <w:szCs w:val="24"/>
                <w:lang w:val="ro-RO" w:eastAsia="ru-RU"/>
              </w:rPr>
              <w:t xml:space="preserve"> dosarelor medicale ale pacienților. Informarea pacientului privind prescripţia farmacoterapeutică.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(an.1). 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0D5AB7" w:rsidRDefault="000D5AB7" w:rsidP="00BC21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Abilități de activitate în calitate de farmacist analist în cadrul sistemului de analiză, control şi certificare a medicamentului; (an.2). 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0D5AB7" w:rsidRDefault="000D5AB7" w:rsidP="00BC21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Abilități de activitate în calitate de farmacist analist în cadrul elaborării standardelor de calitate pentru medicamente; analize biofarmaceutice și de bioechivalență</w:t>
            </w:r>
            <w:r w:rsidRPr="00BC2192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; 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Abilități de activitate în calitate de farmacist analist în laboratoare de biochimie, toxicologie şi igienă a mediului şi alimentelor;(an.2). 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0D5AB7" w:rsidRDefault="000D5AB7" w:rsidP="00BC21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Abilitate de efectuare a cercetărilor ştiinţifice în domeniul medicamentului şi în alte direcţii ale farmaceuticii; 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(an.2). 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0D5AB7" w:rsidRDefault="000D5AB7" w:rsidP="00BC21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Abilitate de activitate pedagogică în cadrul instituţiilor de învăţământ farmaceutic</w:t>
            </w:r>
            <w:r w:rsidR="00BC219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(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an.2). 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  <w:shd w:val="clear" w:color="auto" w:fill="DBE5F1" w:themeFill="accent1" w:themeFillTint="33"/>
          </w:tcPr>
          <w:p w:rsidR="000D5AB7" w:rsidRPr="000D5AB7" w:rsidRDefault="000D5AB7" w:rsidP="000D5A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Anul I (13 săpt)</w:t>
            </w:r>
          </w:p>
        </w:tc>
        <w:tc>
          <w:tcPr>
            <w:tcW w:w="1692" w:type="dxa"/>
            <w:shd w:val="clear" w:color="auto" w:fill="DBE5F1" w:themeFill="accent1" w:themeFillTint="33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6143E4" w:rsidRDefault="000D5AB7" w:rsidP="000D5AB7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o-RO" w:eastAsia="ru-RU"/>
              </w:rPr>
            </w:pPr>
            <w:r w:rsidRPr="005F26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o-RO" w:eastAsia="ru-RU"/>
              </w:rPr>
              <w:t>Pre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o-RO" w:eastAsia="ru-RU"/>
              </w:rPr>
              <w:t>levarea probelor pentru analiză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: (I)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5 probe</w:t>
            </w: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6143E4" w:rsidRDefault="000D5AB7" w:rsidP="000D5AB7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o-RO" w:eastAsia="ru-RU"/>
              </w:rPr>
            </w:pPr>
            <w:r w:rsidRPr="005F2677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Efectuarea examenului organoleptic (aspect, culoare, gust, miros ) a substanţelor medicamentoase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: (I)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 probe</w:t>
            </w: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6143E4" w:rsidRDefault="000D5AB7" w:rsidP="000D5AB7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o-RO" w:eastAsia="ru-RU"/>
              </w:rPr>
            </w:pPr>
            <w:r w:rsidRPr="005F2677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Determinarea solubilității substanțelor medicamentoase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: (I)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 probe</w:t>
            </w: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0D5AB7" w:rsidRDefault="000D5AB7" w:rsidP="000D5AB7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>Determinareaconstantelorfizico-chimice: (I)</w:t>
            </w:r>
          </w:p>
          <w:p w:rsidR="000D5AB7" w:rsidRPr="006143E4" w:rsidRDefault="000D5AB7" w:rsidP="000D5AB7">
            <w:pPr>
              <w:pStyle w:val="a4"/>
              <w:numPr>
                <w:ilvl w:val="0"/>
                <w:numId w:val="6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 xml:space="preserve">densitatea relativă, </w:t>
            </w:r>
          </w:p>
          <w:p w:rsidR="000D5AB7" w:rsidRPr="006143E4" w:rsidRDefault="000D5AB7" w:rsidP="000D5AB7">
            <w:pPr>
              <w:pStyle w:val="a4"/>
              <w:numPr>
                <w:ilvl w:val="0"/>
                <w:numId w:val="6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 xml:space="preserve">vâscozitate, </w:t>
            </w:r>
          </w:p>
          <w:p w:rsidR="000D5AB7" w:rsidRPr="000D5AB7" w:rsidRDefault="000D5AB7" w:rsidP="000D5AB7">
            <w:pPr>
              <w:pStyle w:val="a4"/>
              <w:numPr>
                <w:ilvl w:val="0"/>
                <w:numId w:val="6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 xml:space="preserve">indici de aciditate, de ester, de hidroxid, de iod, de peroxid, de saponificare; </w:t>
            </w:r>
          </w:p>
          <w:p w:rsidR="000D5AB7" w:rsidRPr="006143E4" w:rsidRDefault="000D5AB7" w:rsidP="000D5AB7">
            <w:pPr>
              <w:pStyle w:val="a4"/>
              <w:numPr>
                <w:ilvl w:val="0"/>
                <w:numId w:val="6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>punctul de fierbere, de picurare, de solidificare, de topire, interval de distilare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: (I)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>20 manopere</w:t>
            </w: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6143E4" w:rsidRDefault="000D5AB7" w:rsidP="000D5AB7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>Identificarea substanţelor medicamentoase: (I)</w:t>
            </w:r>
          </w:p>
          <w:p w:rsidR="000D5AB7" w:rsidRPr="000D5AB7" w:rsidRDefault="000D5AB7" w:rsidP="000D5AB7">
            <w:pPr>
              <w:pStyle w:val="a4"/>
              <w:numPr>
                <w:ilvl w:val="0"/>
                <w:numId w:val="7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 xml:space="preserve">cu ajutorulreacţiilorchimice a ionilorneorganicişiorganici, </w:t>
            </w:r>
          </w:p>
          <w:p w:rsidR="000D5AB7" w:rsidRPr="000D5AB7" w:rsidRDefault="000D5AB7" w:rsidP="000D5AB7">
            <w:pPr>
              <w:pStyle w:val="a4"/>
              <w:numPr>
                <w:ilvl w:val="0"/>
                <w:numId w:val="7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 xml:space="preserve">identificareagrupelorfuncţionaleorganice (analizaorganicăfuncţională). </w:t>
            </w:r>
          </w:p>
          <w:p w:rsidR="000D5AB7" w:rsidRPr="000D5AB7" w:rsidRDefault="000D5AB7" w:rsidP="000D5AB7">
            <w:pPr>
              <w:pStyle w:val="a4"/>
              <w:numPr>
                <w:ilvl w:val="0"/>
                <w:numId w:val="7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>Identificareasubstanţelormedicamentoase cu ajutorulmetodelorfizico-chimice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: (I)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 xml:space="preserve">5 manopere </w:t>
            </w: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>Controlulpurităţiisubstanţelormedicamentoase: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(I)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>5 manopere</w:t>
            </w: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 xml:space="preserve">Determinareaconţinutului de principii active însubstanţelemedicamentoaseşiformefarmaceutice. </w:t>
            </w: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>Dozarea prin metode chimice: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(I)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>10 manopere</w:t>
            </w: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>Separareaşiextracţiaprincipiilor active din amestecurişiformefarmaceuticesolide (pulberi, comprimate, drajeuri, capsule):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(I)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>3 forme</w:t>
            </w: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>Separareaşiextracţiaprincipiilor active din amestecurişiformefarmaceuticelichide (soluţii, picături, tincturi, infuzii, suspensii, emulsii)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: (I)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>3 forme</w:t>
            </w: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>Separareaşiextracţiaprincipiilor active din amestecurişiformefarmaceuticemoi (unguente, supozitorii)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: (I)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>2 forme</w:t>
            </w: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>Separareaşiextracţiaprincipiilor active din amestecurişiformefarmaceuticegazoase (aerosoli)</w:t>
            </w:r>
            <w:r w:rsidRPr="006143E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: (I)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>2 forme</w:t>
            </w: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  <w:shd w:val="clear" w:color="auto" w:fill="DBE5F1" w:themeFill="accent1" w:themeFillTint="33"/>
          </w:tcPr>
          <w:p w:rsidR="000D5AB7" w:rsidRPr="000D5AB7" w:rsidRDefault="000D5AB7" w:rsidP="000D5A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Anul 2 (45 săpt.)</w:t>
            </w:r>
          </w:p>
        </w:tc>
        <w:tc>
          <w:tcPr>
            <w:tcW w:w="1692" w:type="dxa"/>
            <w:shd w:val="clear" w:color="auto" w:fill="DBE5F1" w:themeFill="accent1" w:themeFillTint="33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0D5AB7" w:rsidRDefault="000D5AB7" w:rsidP="000D5AB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A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Analizamedicamentelor cu aplicare de metodefizico-chimice (A, I, E): </w:t>
            </w:r>
          </w:p>
          <w:p w:rsidR="000D5AB7" w:rsidRPr="006143E4" w:rsidRDefault="000D5AB7" w:rsidP="000D5AB7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bCs/>
                <w:sz w:val="24"/>
                <w:szCs w:val="24"/>
              </w:rPr>
              <w:t>metodeopticenespectraleșimetodetermice de analiză (</w:t>
            </w: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>refractometria, polarimetria, nefelometria, turbidimetria</w:t>
            </w:r>
            <w:r w:rsidRPr="000D5A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>(A/E)</w:t>
            </w:r>
            <w:r w:rsidRPr="000D5A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6143E4" w:rsidRDefault="000D5AB7" w:rsidP="000D5AB7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bCs/>
                <w:sz w:val="24"/>
                <w:szCs w:val="24"/>
              </w:rPr>
              <w:t>metodespectrale, electrochimiceșitermice de analiză (</w:t>
            </w: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>spectrofotometria UV-</w:t>
            </w:r>
            <w:r w:rsidRPr="000D5AB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VIS, spectrofotometria IR, fotocolorimetria, spectrometria de emisie, fluorimetriaşispectrometria de chemiluminescenţă, spectrometria de fluorescenţă X (XRF),  analizăspectralănucleară) </w:t>
            </w: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>(A/I)</w:t>
            </w:r>
            <w:r w:rsidRPr="000D5AB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;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6143E4" w:rsidRDefault="000D5AB7" w:rsidP="000D5AB7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metodeelectrochimice de analiză. (potenţiometria, voltamperometriaşicoulometria, polarografia.</w:t>
            </w:r>
            <w:r w:rsidRPr="000D5AB7">
              <w:rPr>
                <w:rFonts w:ascii="Times New Roman" w:hAnsi="Times New Roman" w:cs="Times New Roman"/>
                <w:bCs/>
                <w:sz w:val="24"/>
                <w:szCs w:val="24"/>
              </w:rPr>
              <w:t>); metodecromatografice de analiză (c</w:t>
            </w: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>romatografia de repartiţie, cromatografia cu schimb de ioni, cromatografia de absorbţie - cromatografia de gaze (GC), cromatografia de lichide de înaltăperformanță (HPLC), cromatografiaionică, cromatografiaplanară) (A/E).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Analiza medicamentelor prin metode chimice și biologice (A, I, E):</w:t>
            </w:r>
          </w:p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Dozarea carbonului şi a hidrogenului. Dozarea azotului 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>(A/E)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Dozarea carbonului şi a hidrogenului. Dozarea azotului 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>(A/E)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145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Dozarea halogenurilor, sulfului şi a fosfatului 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>(A/I)</w:t>
            </w: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290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Determinarea hidrogenului mobil 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>(A)</w:t>
            </w: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569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Determinarea protometrică în mediu neapos a grupărilor funcţionale (bazice, acide, amfotere) 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>(I, E)</w:t>
            </w: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581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Controlul limitei de impurităţi anorganice – limita de amoniu, arsen, metale grele, fier, calciu, zinc, carbonaţi, cloruri, fosfaţi, azotaţi, sulfaţi 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>(I, E)</w:t>
            </w: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 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569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Limita de impurităţi organice carbonizabile. Impurităţi în uleiuri grase. 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>(A/E)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290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>Determinarea solvenţilor reziduali.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 xml:space="preserve"> (A/E)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302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Determinări prin metode de sedimentare (argentometria). 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>(A/E)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569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>Determinări prin  metode acido-bazice în mediu apos (acidimetria, alcalimetria).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 xml:space="preserve"> (A/E)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569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>Determinări prin  metode acido-bazice în medii de solvenți anhidri (acidimetria, alcalimetria).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 xml:space="preserve"> (A/E)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569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Determinări prin  metode acido-bazice în medii de solvenți micști (acidimetria, alcalimetria). 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>(A/E)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859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Determinări prin  metode redox: iodometria și iodatometria,  permanganatometria, bromometria, bromatometria, nitritometria și cerimetria, bicromatometria, Complexonometria în analiza farmaceutică. 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>(A/E)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290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Determinarea și controlul sterilității medicamentelor. 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>(A/I)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569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>Determinarea contaminării microbiene și a activității microbiologice a antibioticelor.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 xml:space="preserve"> (A/I)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302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Determinarea activității enzimatice și vasopresorii. 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>(A/I)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290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Determinarea impurităților hipotensive, pirogene și toxice. 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>(A/I)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290"/>
        </w:trPr>
        <w:tc>
          <w:tcPr>
            <w:tcW w:w="8802" w:type="dxa"/>
          </w:tcPr>
          <w:p w:rsidR="000D5AB7" w:rsidRPr="006143E4" w:rsidRDefault="000D5AB7" w:rsidP="000D5AB7">
            <w:pPr>
              <w:pStyle w:val="ae"/>
              <w:numPr>
                <w:ilvl w:val="0"/>
                <w:numId w:val="9"/>
              </w:numPr>
              <w:spacing w:after="0" w:line="276" w:lineRule="auto"/>
              <w:ind w:left="0" w:firstLine="360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/>
                <w:sz w:val="24"/>
                <w:szCs w:val="24"/>
                <w:lang w:val="ro-RO"/>
              </w:rPr>
              <w:t>Dozarea biologică a heparinei, insulinei, glicozidelor cardiotonice.</w:t>
            </w:r>
            <w:r w:rsidRPr="006143E4">
              <w:rPr>
                <w:rFonts w:ascii="Times New Roman" w:hAnsi="Times New Roman"/>
                <w:sz w:val="24"/>
                <w:szCs w:val="24"/>
              </w:rPr>
              <w:t xml:space="preserve"> (A/I)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569"/>
        </w:trPr>
        <w:tc>
          <w:tcPr>
            <w:tcW w:w="8802" w:type="dxa"/>
          </w:tcPr>
          <w:p w:rsidR="000D5AB7" w:rsidRPr="000D5AB7" w:rsidRDefault="000D5AB7" w:rsidP="000D5AB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A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Determinareastabilitățiimedicamentelor (A, I, E):</w:t>
            </w:r>
          </w:p>
          <w:p w:rsidR="000D5AB7" w:rsidRPr="006143E4" w:rsidRDefault="000D5AB7" w:rsidP="000D5AB7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determinareatermenului de valabilitateprinmetode accelerate </w:t>
            </w: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>(A/E)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302"/>
        </w:trPr>
        <w:tc>
          <w:tcPr>
            <w:tcW w:w="8802" w:type="dxa"/>
          </w:tcPr>
          <w:p w:rsidR="000D5AB7" w:rsidRPr="006143E4" w:rsidRDefault="000D5AB7" w:rsidP="000D5AB7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determinareatermenului de valabilitateprinmetode accelerate </w:t>
            </w: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>(A/E)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569"/>
        </w:trPr>
        <w:tc>
          <w:tcPr>
            <w:tcW w:w="8802" w:type="dxa"/>
          </w:tcPr>
          <w:p w:rsidR="000D5AB7" w:rsidRPr="006143E4" w:rsidRDefault="000D5AB7" w:rsidP="000D5AB7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bCs/>
                <w:sz w:val="24"/>
                <w:szCs w:val="24"/>
              </w:rPr>
              <w:t>Alcătuireaprotocoluluistudiilor de stabilitateși a raportului de stabilitate.</w:t>
            </w: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>(A/E)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569"/>
        </w:trPr>
        <w:tc>
          <w:tcPr>
            <w:tcW w:w="8802" w:type="dxa"/>
          </w:tcPr>
          <w:p w:rsidR="000D5AB7" w:rsidRPr="006143E4" w:rsidRDefault="000D5AB7" w:rsidP="000D5AB7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 xml:space="preserve">Controlulcalităţiimedicamentelor la nivel de întreprinderifarmaceutice. </w:t>
            </w: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>(A/I)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302"/>
        </w:trPr>
        <w:tc>
          <w:tcPr>
            <w:tcW w:w="8802" w:type="dxa"/>
          </w:tcPr>
          <w:p w:rsidR="000D5AB7" w:rsidRPr="006143E4" w:rsidRDefault="000D5AB7" w:rsidP="000D5AB7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 xml:space="preserve">Controlulcalităţiimedicamentelor la nivel de farmacii. </w:t>
            </w: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>(A/I)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569"/>
        </w:trPr>
        <w:tc>
          <w:tcPr>
            <w:tcW w:w="8802" w:type="dxa"/>
          </w:tcPr>
          <w:p w:rsidR="000D5AB7" w:rsidRPr="006143E4" w:rsidRDefault="000D5AB7" w:rsidP="000D5AB7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 xml:space="preserve">Controlulcalităţiimedicamentelor la nivel de laboratoare de control. </w:t>
            </w: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>(A/I/E)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1126"/>
        </w:trPr>
        <w:tc>
          <w:tcPr>
            <w:tcW w:w="8802" w:type="dxa"/>
          </w:tcPr>
          <w:p w:rsidR="000D5AB7" w:rsidRPr="006143E4" w:rsidRDefault="000D5AB7" w:rsidP="000D5AB7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 xml:space="preserve">Alcătuireașiexpertiza de documenteanalitice normative (DAN) cereglementeazăcalitateamedicamentelor: monografiifarmacopeicegeneraleşiparticulare (MF) şimonografiifarmacopeicetemporare (MFT), specificaţii de calitate a producătorului. </w:t>
            </w: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>(A/E)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848"/>
        </w:trPr>
        <w:tc>
          <w:tcPr>
            <w:tcW w:w="8802" w:type="dxa"/>
          </w:tcPr>
          <w:p w:rsidR="000D5AB7" w:rsidRPr="000D5AB7" w:rsidRDefault="000D5AB7" w:rsidP="000D5AB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A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Efectuareavalidăriimetodelor de dozareși de determinare a puritățiidupăprincipalii parametric (A, I, E):</w:t>
            </w:r>
          </w:p>
          <w:p w:rsidR="000D5AB7" w:rsidRPr="006143E4" w:rsidRDefault="000D5AB7" w:rsidP="000D5AB7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>Determinarea linearității (A/E)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302"/>
        </w:trPr>
        <w:tc>
          <w:tcPr>
            <w:tcW w:w="8802" w:type="dxa"/>
          </w:tcPr>
          <w:p w:rsidR="000D5AB7" w:rsidRPr="006143E4" w:rsidRDefault="000D5AB7" w:rsidP="000D5AB7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>Determinarea Exactității (A/E)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290"/>
        </w:trPr>
        <w:tc>
          <w:tcPr>
            <w:tcW w:w="8802" w:type="dxa"/>
          </w:tcPr>
          <w:p w:rsidR="000D5AB7" w:rsidRPr="006143E4" w:rsidRDefault="000D5AB7" w:rsidP="000D5AB7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360"/>
              <w:rPr>
                <w:sz w:val="24"/>
                <w:szCs w:val="24"/>
              </w:rPr>
            </w:pPr>
            <w:r w:rsidRPr="006143E4">
              <w:rPr>
                <w:rFonts w:ascii="Times New Roman" w:hAnsi="Times New Roman" w:cs="Times New Roman"/>
                <w:sz w:val="24"/>
                <w:szCs w:val="24"/>
              </w:rPr>
              <w:t>Determinarea Specificității (A/E)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</w:tr>
      <w:tr w:rsidR="000D5AB7" w:rsidRPr="000D5AB7" w:rsidTr="000D5AB7">
        <w:trPr>
          <w:trHeight w:val="302"/>
        </w:trPr>
        <w:tc>
          <w:tcPr>
            <w:tcW w:w="8802" w:type="dxa"/>
          </w:tcPr>
          <w:p w:rsidR="000D5AB7" w:rsidRPr="006143E4" w:rsidRDefault="000D5AB7" w:rsidP="000D5AB7">
            <w:pPr>
              <w:pStyle w:val="a4"/>
              <w:numPr>
                <w:ilvl w:val="0"/>
                <w:numId w:val="8"/>
              </w:numPr>
              <w:spacing w:line="276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</w:rPr>
              <w:t>DeterminareaLimitei de detecțieșicuantificare (A/I)</w:t>
            </w:r>
          </w:p>
        </w:tc>
        <w:tc>
          <w:tcPr>
            <w:tcW w:w="1692" w:type="dxa"/>
          </w:tcPr>
          <w:p w:rsidR="000D5AB7" w:rsidRPr="000D5AB7" w:rsidRDefault="000D5AB7" w:rsidP="000D5A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</w:tbl>
    <w:p w:rsidR="0020769D" w:rsidRPr="007231A4" w:rsidRDefault="0020769D" w:rsidP="008852A6">
      <w:pPr>
        <w:rPr>
          <w:rFonts w:cs="Times New Roman"/>
          <w:sz w:val="28"/>
          <w:szCs w:val="28"/>
        </w:rPr>
      </w:pPr>
    </w:p>
    <w:p w:rsidR="000D5AB7" w:rsidRPr="00513D7D" w:rsidRDefault="000D5AB7" w:rsidP="000D5AB7">
      <w:pPr>
        <w:pStyle w:val="ae"/>
        <w:spacing w:line="240" w:lineRule="auto"/>
        <w:rPr>
          <w:rFonts w:ascii="Times New Roman" w:hAnsi="Times New Roman"/>
          <w:sz w:val="24"/>
          <w:szCs w:val="24"/>
          <w:lang w:val="pt-BR"/>
        </w:rPr>
      </w:pPr>
      <w:r w:rsidRPr="00513D7D">
        <w:rPr>
          <w:rFonts w:ascii="Times New Roman" w:hAnsi="Times New Roman"/>
          <w:sz w:val="24"/>
          <w:szCs w:val="24"/>
          <w:lang w:val="pt-BR"/>
        </w:rPr>
        <w:t>Coordonator de rezidenți</w:t>
      </w:r>
    </w:p>
    <w:p w:rsidR="000D5AB7" w:rsidRPr="00513D7D" w:rsidRDefault="000D5AB7" w:rsidP="000D5AB7">
      <w:pPr>
        <w:pStyle w:val="ae"/>
        <w:spacing w:line="240" w:lineRule="auto"/>
        <w:rPr>
          <w:rFonts w:ascii="Times New Roman" w:hAnsi="Times New Roman"/>
          <w:sz w:val="24"/>
          <w:szCs w:val="24"/>
          <w:lang w:val="pt-BR"/>
        </w:rPr>
      </w:pPr>
      <w:r w:rsidRPr="00513D7D">
        <w:rPr>
          <w:rFonts w:ascii="Times New Roman" w:hAnsi="Times New Roman"/>
          <w:sz w:val="24"/>
          <w:szCs w:val="24"/>
          <w:lang w:val="fr-FR"/>
        </w:rPr>
        <w:t xml:space="preserve">Șef de cateră, dr. hab.șt. farm.                                                    </w:t>
      </w:r>
      <w:r>
        <w:rPr>
          <w:rFonts w:ascii="Times New Roman" w:hAnsi="Times New Roman"/>
          <w:sz w:val="24"/>
          <w:szCs w:val="24"/>
          <w:lang w:val="pt-BR"/>
        </w:rPr>
        <w:t>Vladimir Valica</w:t>
      </w:r>
    </w:p>
    <w:p w:rsidR="000D5AB7" w:rsidRDefault="000D5AB7" w:rsidP="000D5AB7">
      <w:pPr>
        <w:pStyle w:val="ae"/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0D5AB7" w:rsidRPr="00513D7D" w:rsidRDefault="000D5AB7" w:rsidP="000D5AB7">
      <w:pPr>
        <w:pStyle w:val="ae"/>
        <w:spacing w:line="240" w:lineRule="auto"/>
        <w:rPr>
          <w:rFonts w:ascii="Times New Roman" w:hAnsi="Times New Roman"/>
          <w:sz w:val="24"/>
          <w:szCs w:val="24"/>
          <w:lang w:val="pt-BR"/>
        </w:rPr>
      </w:pPr>
      <w:r w:rsidRPr="00513D7D">
        <w:rPr>
          <w:rFonts w:ascii="Times New Roman" w:hAnsi="Times New Roman"/>
          <w:sz w:val="24"/>
          <w:szCs w:val="24"/>
          <w:lang w:val="pt-BR"/>
        </w:rPr>
        <w:t xml:space="preserve">Responsabil universitar de rezidenți, </w:t>
      </w:r>
    </w:p>
    <w:p w:rsidR="000D5AB7" w:rsidRPr="00513D7D" w:rsidRDefault="000D5AB7" w:rsidP="000D5AB7">
      <w:pPr>
        <w:pStyle w:val="ae"/>
        <w:spacing w:line="240" w:lineRule="auto"/>
        <w:rPr>
          <w:rFonts w:ascii="Times New Roman" w:hAnsi="Times New Roman"/>
          <w:sz w:val="24"/>
          <w:szCs w:val="24"/>
          <w:lang w:val="pt-BR"/>
        </w:rPr>
      </w:pPr>
      <w:r w:rsidRPr="00513D7D">
        <w:rPr>
          <w:rFonts w:ascii="Times New Roman" w:hAnsi="Times New Roman"/>
          <w:sz w:val="24"/>
          <w:szCs w:val="24"/>
          <w:lang w:val="pt-BR"/>
        </w:rPr>
        <w:t xml:space="preserve">dr. șt. </w:t>
      </w:r>
      <w:r>
        <w:rPr>
          <w:rFonts w:ascii="Times New Roman" w:hAnsi="Times New Roman"/>
          <w:sz w:val="24"/>
          <w:szCs w:val="24"/>
          <w:lang w:val="pt-BR"/>
        </w:rPr>
        <w:t>f</w:t>
      </w:r>
      <w:r w:rsidRPr="00513D7D">
        <w:rPr>
          <w:rFonts w:ascii="Times New Roman" w:hAnsi="Times New Roman"/>
          <w:sz w:val="24"/>
          <w:szCs w:val="24"/>
          <w:lang w:val="pt-BR"/>
        </w:rPr>
        <w:t>arm</w:t>
      </w:r>
      <w:r>
        <w:rPr>
          <w:rFonts w:ascii="Times New Roman" w:hAnsi="Times New Roman"/>
          <w:sz w:val="24"/>
          <w:szCs w:val="24"/>
          <w:lang w:val="pt-BR"/>
        </w:rPr>
        <w:t>.,</w:t>
      </w:r>
      <w:r w:rsidRPr="00513D7D">
        <w:rPr>
          <w:rFonts w:ascii="Times New Roman" w:hAnsi="Times New Roman"/>
          <w:sz w:val="24"/>
          <w:szCs w:val="24"/>
          <w:lang w:val="pt-BR"/>
        </w:rPr>
        <w:t xml:space="preserve">conferențiar                                                            </w:t>
      </w:r>
      <w:r>
        <w:rPr>
          <w:rFonts w:ascii="Times New Roman" w:hAnsi="Times New Roman"/>
          <w:sz w:val="24"/>
          <w:szCs w:val="24"/>
          <w:lang w:val="pt-BR"/>
        </w:rPr>
        <w:t>Livia Uncu</w:t>
      </w:r>
    </w:p>
    <w:p w:rsidR="000D5AB7" w:rsidRDefault="000D5AB7" w:rsidP="000D5AB7">
      <w:pPr>
        <w:pStyle w:val="ae"/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0D5AB7" w:rsidRDefault="000D5AB7" w:rsidP="000D5AB7">
      <w:pPr>
        <w:pStyle w:val="ae"/>
        <w:spacing w:line="240" w:lineRule="auto"/>
        <w:rPr>
          <w:rFonts w:ascii="Times New Roman" w:hAnsi="Times New Roman"/>
          <w:sz w:val="24"/>
          <w:szCs w:val="24"/>
          <w:lang w:val="pt-BR"/>
        </w:rPr>
      </w:pPr>
      <w:r w:rsidRPr="00513D7D">
        <w:rPr>
          <w:rFonts w:ascii="Times New Roman" w:hAnsi="Times New Roman"/>
          <w:sz w:val="24"/>
          <w:szCs w:val="24"/>
          <w:lang w:val="pt-BR"/>
        </w:rPr>
        <w:t>Șef studii</w:t>
      </w:r>
      <w:r>
        <w:rPr>
          <w:rFonts w:ascii="Times New Roman" w:hAnsi="Times New Roman"/>
          <w:sz w:val="24"/>
          <w:szCs w:val="24"/>
          <w:lang w:val="pt-BR"/>
        </w:rPr>
        <w:t xml:space="preserve"> postuniversitare (rezidenți, educație continuă)</w:t>
      </w:r>
      <w:r w:rsidRPr="00513D7D">
        <w:rPr>
          <w:rFonts w:ascii="Times New Roman" w:hAnsi="Times New Roman"/>
          <w:sz w:val="24"/>
          <w:szCs w:val="24"/>
          <w:lang w:val="pt-BR"/>
        </w:rPr>
        <w:t xml:space="preserve">, </w:t>
      </w:r>
    </w:p>
    <w:p w:rsidR="000D5AB7" w:rsidRPr="00513D7D" w:rsidRDefault="000D5AB7" w:rsidP="000D5AB7">
      <w:pPr>
        <w:pStyle w:val="ae"/>
        <w:spacing w:line="240" w:lineRule="auto"/>
        <w:rPr>
          <w:rFonts w:ascii="Times New Roman" w:hAnsi="Times New Roman"/>
          <w:sz w:val="24"/>
          <w:szCs w:val="24"/>
          <w:lang w:val="pt-BR"/>
        </w:rPr>
      </w:pPr>
      <w:r w:rsidRPr="00513D7D">
        <w:rPr>
          <w:rFonts w:ascii="Times New Roman" w:hAnsi="Times New Roman"/>
          <w:sz w:val="24"/>
          <w:szCs w:val="24"/>
          <w:lang w:val="pt-BR"/>
        </w:rPr>
        <w:t xml:space="preserve">dr. șt. farm., conferențiar         </w:t>
      </w:r>
      <w:r>
        <w:rPr>
          <w:rFonts w:ascii="Times New Roman" w:hAnsi="Times New Roman"/>
          <w:sz w:val="24"/>
          <w:szCs w:val="24"/>
          <w:lang w:val="pt-BR"/>
        </w:rPr>
        <w:t>Livia Uncu</w:t>
      </w:r>
    </w:p>
    <w:p w:rsidR="00746DE3" w:rsidRPr="000D5AB7" w:rsidRDefault="00746DE3" w:rsidP="000D5AB7">
      <w:pPr>
        <w:rPr>
          <w:rFonts w:cs="Times New Roman"/>
          <w:sz w:val="28"/>
          <w:szCs w:val="28"/>
          <w:lang w:val="pt-BR"/>
        </w:rPr>
      </w:pPr>
      <w:bookmarkStart w:id="0" w:name="_GoBack"/>
      <w:bookmarkEnd w:id="0"/>
    </w:p>
    <w:sectPr w:rsidR="00746DE3" w:rsidRPr="000D5AB7" w:rsidSect="000B6B23">
      <w:headerReference w:type="default" r:id="rId8"/>
      <w:pgSz w:w="11906" w:h="16838"/>
      <w:pgMar w:top="1134" w:right="1701" w:bottom="1134" w:left="85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C70" w:rsidRDefault="00D85C70" w:rsidP="0020769D">
      <w:pPr>
        <w:spacing w:after="0" w:line="240" w:lineRule="auto"/>
      </w:pPr>
      <w:r>
        <w:separator/>
      </w:r>
    </w:p>
  </w:endnote>
  <w:endnote w:type="continuationSeparator" w:id="1">
    <w:p w:rsidR="00D85C70" w:rsidRDefault="00D85C70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C70" w:rsidRDefault="00D85C70" w:rsidP="0020769D">
      <w:pPr>
        <w:spacing w:after="0" w:line="240" w:lineRule="auto"/>
      </w:pPr>
      <w:r>
        <w:separator/>
      </w:r>
    </w:p>
  </w:footnote>
  <w:footnote w:type="continuationSeparator" w:id="1">
    <w:p w:rsidR="00D85C70" w:rsidRDefault="00D85C70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90" w:type="dxa"/>
      <w:tblInd w:w="-290" w:type="dxa"/>
      <w:tblLayout w:type="fixed"/>
      <w:tblCellMar>
        <w:left w:w="70" w:type="dxa"/>
        <w:right w:w="70" w:type="dxa"/>
      </w:tblCellMar>
      <w:tblLook w:val="04A0"/>
    </w:tblPr>
    <w:tblGrid>
      <w:gridCol w:w="1380"/>
      <w:gridCol w:w="7080"/>
      <w:gridCol w:w="1350"/>
      <w:gridCol w:w="1080"/>
    </w:tblGrid>
    <w:tr w:rsidR="00910E6F" w:rsidRPr="007231A4" w:rsidTr="000B6B23">
      <w:trPr>
        <w:cantSplit/>
        <w:trHeight w:val="390"/>
        <w:tblHeader/>
      </w:trPr>
      <w:tc>
        <w:tcPr>
          <w:tcW w:w="13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910E6F" w:rsidRPr="007231A4" w:rsidRDefault="00910E6F" w:rsidP="00910E6F">
          <w:pPr>
            <w:pStyle w:val="a7"/>
            <w:rPr>
              <w:rFonts w:cs="Arial"/>
            </w:rPr>
          </w:pPr>
          <w:r w:rsidRPr="007231A4">
            <w:rPr>
              <w:noProof/>
              <w:sz w:val="16"/>
              <w:szCs w:val="16"/>
              <w:lang w:val="ru-RU" w:eastAsia="ru-RU"/>
            </w:rPr>
            <w:drawing>
              <wp:inline distT="0" distB="0" distL="0" distR="0">
                <wp:extent cx="742950" cy="82867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5228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10E6F" w:rsidRPr="007231A4" w:rsidRDefault="00910E6F" w:rsidP="00910E6F">
          <w:pPr>
            <w:pStyle w:val="a7"/>
            <w:jc w:val="center"/>
            <w:rPr>
              <w:rFonts w:cstheme="minorHAnsi"/>
              <w:b/>
              <w:caps/>
              <w:sz w:val="28"/>
              <w:szCs w:val="28"/>
            </w:rPr>
          </w:pPr>
          <w:r w:rsidRPr="007231A4">
            <w:rPr>
              <w:rFonts w:cstheme="minorHAnsi"/>
              <w:b/>
              <w:caps/>
              <w:sz w:val="28"/>
              <w:szCs w:val="28"/>
            </w:rPr>
            <w:t xml:space="preserve">VAM 7.5.1 </w:t>
          </w:r>
        </w:p>
        <w:p w:rsidR="000D5AB7" w:rsidRDefault="000D5AB7" w:rsidP="000D5AB7">
          <w:pPr>
            <w:pStyle w:val="11"/>
            <w:spacing w:line="276" w:lineRule="auto"/>
            <w:jc w:val="center"/>
            <w:rPr>
              <w:rFonts w:ascii="Times New Roman" w:hAnsi="Times New Roman" w:cs="Times New Roman"/>
              <w:sz w:val="24"/>
              <w:szCs w:val="24"/>
              <w:lang w:val="pt-BR"/>
            </w:rPr>
          </w:pPr>
          <w:r w:rsidRPr="00025BDD">
            <w:rPr>
              <w:rFonts w:ascii="Times New Roman" w:hAnsi="Times New Roman" w:cs="Times New Roman"/>
              <w:sz w:val="24"/>
              <w:szCs w:val="24"/>
              <w:lang w:val="pt-BR"/>
            </w:rPr>
            <w:t xml:space="preserve">Volumul activității farmaceutice acordate de farmaciști-rezidenți și limitele de competență la specialitatea </w:t>
          </w:r>
        </w:p>
        <w:p w:rsidR="00910E6F" w:rsidRPr="000D5AB7" w:rsidRDefault="000D5AB7" w:rsidP="000D5AB7">
          <w:pPr>
            <w:pStyle w:val="11"/>
            <w:spacing w:line="276" w:lineRule="auto"/>
            <w:jc w:val="center"/>
            <w:rPr>
              <w:rFonts w:ascii="Times New Roman" w:hAnsi="Times New Roman" w:cs="Times New Roman"/>
              <w:b/>
              <w:i/>
              <w:caps/>
              <w:sz w:val="24"/>
              <w:szCs w:val="24"/>
              <w:lang w:val="ro-RO"/>
            </w:rPr>
          </w:pPr>
          <w:r>
            <w:rPr>
              <w:rFonts w:ascii="Times New Roman" w:hAnsi="Times New Roman" w:cs="Times New Roman"/>
              <w:b/>
              <w:i/>
              <w:caps/>
              <w:sz w:val="24"/>
              <w:szCs w:val="24"/>
              <w:lang w:val="pt-BR"/>
            </w:rPr>
            <w:t>Farmacie analitic</w:t>
          </w:r>
          <w:r>
            <w:rPr>
              <w:rFonts w:ascii="Times New Roman" w:hAnsi="Times New Roman" w:cs="Times New Roman"/>
              <w:b/>
              <w:i/>
              <w:caps/>
              <w:sz w:val="24"/>
              <w:szCs w:val="24"/>
              <w:lang w:val="ro-RO"/>
            </w:rPr>
            <w:t>ă</w:t>
          </w: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  <w:lang w:val="ro-RO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RED</w:t>
          </w:r>
          <w:r w:rsidRPr="007231A4">
            <w:rPr>
              <w:rStyle w:val="ab"/>
              <w:rFonts w:asciiTheme="minorHAnsi" w:hAnsiTheme="minorHAnsi" w:cs="Arial"/>
              <w:sz w:val="18"/>
              <w:szCs w:val="18"/>
              <w:lang w:val="ro-RO"/>
            </w:rPr>
            <w:t>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04</w:t>
          </w:r>
        </w:p>
      </w:tc>
    </w:tr>
    <w:tr w:rsidR="00910E6F" w:rsidRPr="007231A4" w:rsidTr="000B6B23">
      <w:trPr>
        <w:cantSplit/>
        <w:trHeight w:val="360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910E6F" w:rsidRPr="007231A4" w:rsidRDefault="00910E6F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910E6F" w:rsidRPr="007231A4" w:rsidRDefault="00910E6F" w:rsidP="00910E6F">
          <w:pPr>
            <w:rPr>
              <w:lang w:val="it-IT"/>
            </w:rPr>
          </w:pP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DATA: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anul 2016</w:t>
          </w:r>
        </w:p>
      </w:tc>
    </w:tr>
    <w:tr w:rsidR="00910E6F" w:rsidRPr="007231A4" w:rsidTr="000B6B23">
      <w:trPr>
        <w:cantSplit/>
        <w:trHeight w:val="512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910E6F" w:rsidRPr="007231A4" w:rsidRDefault="00910E6F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910E6F" w:rsidRPr="007231A4" w:rsidRDefault="00910E6F" w:rsidP="00910E6F">
          <w:pPr>
            <w:rPr>
              <w:lang w:val="it-IT"/>
            </w:rPr>
          </w:pPr>
        </w:p>
      </w:tc>
      <w:tc>
        <w:tcPr>
          <w:tcW w:w="243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10E6F" w:rsidRPr="007231A4" w:rsidRDefault="00910E6F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 xml:space="preserve">Pag. </w:t>
          </w:r>
          <w:r w:rsidR="00820789" w:rsidRPr="007231A4">
            <w:rPr>
              <w:rFonts w:asciiTheme="minorHAnsi" w:hAnsiTheme="minorHAnsi"/>
            </w:rPr>
            <w:fldChar w:fldCharType="begin"/>
          </w:r>
          <w:r w:rsidRPr="007231A4">
            <w:rPr>
              <w:rFonts w:asciiTheme="minorHAnsi" w:hAnsiTheme="minorHAnsi"/>
            </w:rPr>
            <w:instrText xml:space="preserve"> PAGE  \* MERGEFORMAT </w:instrText>
          </w:r>
          <w:r w:rsidR="00820789" w:rsidRPr="007231A4">
            <w:rPr>
              <w:rFonts w:asciiTheme="minorHAnsi" w:hAnsiTheme="minorHAnsi"/>
            </w:rPr>
            <w:fldChar w:fldCharType="separate"/>
          </w:r>
          <w:r w:rsidR="00623DD8">
            <w:rPr>
              <w:rFonts w:asciiTheme="minorHAnsi" w:hAnsiTheme="minorHAnsi"/>
              <w:noProof/>
            </w:rPr>
            <w:t>1</w:t>
          </w:r>
          <w:r w:rsidR="00820789" w:rsidRPr="007231A4">
            <w:rPr>
              <w:rFonts w:asciiTheme="minorHAnsi" w:hAnsiTheme="minorHAnsi"/>
            </w:rPr>
            <w:fldChar w:fldCharType="end"/>
          </w:r>
          <w:r w:rsidRPr="007231A4">
            <w:rPr>
              <w:rFonts w:asciiTheme="minorHAnsi" w:hAnsiTheme="minorHAnsi"/>
            </w:rPr>
            <w:t>/</w:t>
          </w:r>
          <w:fldSimple w:instr=" NUMPAGES  \* MERGEFORMAT ">
            <w:r w:rsidR="00623DD8" w:rsidRPr="00623DD8">
              <w:rPr>
                <w:rFonts w:asciiTheme="minorHAnsi" w:hAnsiTheme="minorHAnsi"/>
                <w:noProof/>
              </w:rPr>
              <w:t>4</w:t>
            </w:r>
          </w:fldSimple>
        </w:p>
      </w:tc>
    </w:tr>
  </w:tbl>
  <w:p w:rsidR="00910E6F" w:rsidRPr="007231A4" w:rsidRDefault="00910E6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81B4F"/>
    <w:multiLevelType w:val="hybridMultilevel"/>
    <w:tmpl w:val="17C65986"/>
    <w:lvl w:ilvl="0" w:tplc="B7A60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A48F1"/>
    <w:multiLevelType w:val="hybridMultilevel"/>
    <w:tmpl w:val="1630A97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C13969"/>
    <w:multiLevelType w:val="hybridMultilevel"/>
    <w:tmpl w:val="F7F05FE6"/>
    <w:lvl w:ilvl="0" w:tplc="4C2A5018">
      <w:start w:val="1"/>
      <w:numFmt w:val="decimal"/>
      <w:lvlText w:val="%1."/>
      <w:lvlJc w:val="left"/>
      <w:pPr>
        <w:ind w:left="2100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8A4DEE"/>
    <w:multiLevelType w:val="hybridMultilevel"/>
    <w:tmpl w:val="F1E0A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6C3C86"/>
    <w:multiLevelType w:val="hybridMultilevel"/>
    <w:tmpl w:val="54467322"/>
    <w:lvl w:ilvl="0" w:tplc="0418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>
    <w:nsid w:val="4EF83728"/>
    <w:multiLevelType w:val="hybridMultilevel"/>
    <w:tmpl w:val="C92A005C"/>
    <w:lvl w:ilvl="0" w:tplc="CE2CF8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031EE1"/>
    <w:multiLevelType w:val="hybridMultilevel"/>
    <w:tmpl w:val="9B4C38B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545E76"/>
    <w:multiLevelType w:val="hybridMultilevel"/>
    <w:tmpl w:val="5F32798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653571"/>
    <w:multiLevelType w:val="hybridMultilevel"/>
    <w:tmpl w:val="4560C3F4"/>
    <w:lvl w:ilvl="0" w:tplc="2BF4A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8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6DE3"/>
    <w:rsid w:val="0001522A"/>
    <w:rsid w:val="000B6B23"/>
    <w:rsid w:val="000C7C35"/>
    <w:rsid w:val="000D5AB7"/>
    <w:rsid w:val="00115EA9"/>
    <w:rsid w:val="00167E64"/>
    <w:rsid w:val="00186531"/>
    <w:rsid w:val="001A2C50"/>
    <w:rsid w:val="001A723B"/>
    <w:rsid w:val="001C41CB"/>
    <w:rsid w:val="0020769D"/>
    <w:rsid w:val="002351B3"/>
    <w:rsid w:val="0024079A"/>
    <w:rsid w:val="00256878"/>
    <w:rsid w:val="00272EC4"/>
    <w:rsid w:val="002A553F"/>
    <w:rsid w:val="00345525"/>
    <w:rsid w:val="00396889"/>
    <w:rsid w:val="004351DC"/>
    <w:rsid w:val="00441496"/>
    <w:rsid w:val="004C391B"/>
    <w:rsid w:val="005079FA"/>
    <w:rsid w:val="00540C65"/>
    <w:rsid w:val="005729E4"/>
    <w:rsid w:val="005734F8"/>
    <w:rsid w:val="005920D3"/>
    <w:rsid w:val="005C5B5E"/>
    <w:rsid w:val="00606A15"/>
    <w:rsid w:val="00623DD8"/>
    <w:rsid w:val="00627A15"/>
    <w:rsid w:val="006915CE"/>
    <w:rsid w:val="006928E5"/>
    <w:rsid w:val="006A54D5"/>
    <w:rsid w:val="006E3DA3"/>
    <w:rsid w:val="006F42CC"/>
    <w:rsid w:val="007231A4"/>
    <w:rsid w:val="00725DC8"/>
    <w:rsid w:val="00746DE3"/>
    <w:rsid w:val="007A6E73"/>
    <w:rsid w:val="00820032"/>
    <w:rsid w:val="00820789"/>
    <w:rsid w:val="00823AD9"/>
    <w:rsid w:val="008852A6"/>
    <w:rsid w:val="008A5299"/>
    <w:rsid w:val="008D09B7"/>
    <w:rsid w:val="008E1DFE"/>
    <w:rsid w:val="00910E6F"/>
    <w:rsid w:val="00957EAA"/>
    <w:rsid w:val="00961BEC"/>
    <w:rsid w:val="009669E0"/>
    <w:rsid w:val="00986C32"/>
    <w:rsid w:val="009B086A"/>
    <w:rsid w:val="00A22650"/>
    <w:rsid w:val="00AD371C"/>
    <w:rsid w:val="00B16CDF"/>
    <w:rsid w:val="00B23F6A"/>
    <w:rsid w:val="00B60C14"/>
    <w:rsid w:val="00BB4838"/>
    <w:rsid w:val="00BB71DF"/>
    <w:rsid w:val="00BC2192"/>
    <w:rsid w:val="00BE7A2F"/>
    <w:rsid w:val="00C15FB5"/>
    <w:rsid w:val="00C35694"/>
    <w:rsid w:val="00C36017"/>
    <w:rsid w:val="00C36D32"/>
    <w:rsid w:val="00C41A67"/>
    <w:rsid w:val="00C46D83"/>
    <w:rsid w:val="00CF191A"/>
    <w:rsid w:val="00D85C70"/>
    <w:rsid w:val="00E369BC"/>
    <w:rsid w:val="00E440C2"/>
    <w:rsid w:val="00E718E3"/>
    <w:rsid w:val="00E77A8A"/>
    <w:rsid w:val="00EB6803"/>
    <w:rsid w:val="00EC69F2"/>
    <w:rsid w:val="00EF2F42"/>
    <w:rsid w:val="00F2025B"/>
    <w:rsid w:val="00F36FA6"/>
    <w:rsid w:val="00F752BB"/>
    <w:rsid w:val="00F8747A"/>
    <w:rsid w:val="00FD34D0"/>
    <w:rsid w:val="00FF1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789"/>
  </w:style>
  <w:style w:type="paragraph" w:styleId="1">
    <w:name w:val="heading 1"/>
    <w:basedOn w:val="a"/>
    <w:next w:val="a"/>
    <w:link w:val="10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a0"/>
    <w:rsid w:val="008852A6"/>
  </w:style>
  <w:style w:type="character" w:customStyle="1" w:styleId="a3">
    <w:name w:val="a"/>
    <w:basedOn w:val="a0"/>
    <w:rsid w:val="00F36FA6"/>
  </w:style>
  <w:style w:type="character" w:customStyle="1" w:styleId="l10">
    <w:name w:val="l10"/>
    <w:basedOn w:val="a0"/>
    <w:rsid w:val="00F36FA6"/>
  </w:style>
  <w:style w:type="character" w:customStyle="1" w:styleId="l11">
    <w:name w:val="l11"/>
    <w:basedOn w:val="a0"/>
    <w:rsid w:val="00F36FA6"/>
  </w:style>
  <w:style w:type="character" w:customStyle="1" w:styleId="l7">
    <w:name w:val="l7"/>
    <w:basedOn w:val="a0"/>
    <w:rsid w:val="00F36FA6"/>
  </w:style>
  <w:style w:type="paragraph" w:styleId="a4">
    <w:name w:val="List Paragraph"/>
    <w:basedOn w:val="a"/>
    <w:uiPriority w:val="34"/>
    <w:qFormat/>
    <w:rsid w:val="00F36FA6"/>
    <w:pPr>
      <w:ind w:left="720"/>
      <w:contextualSpacing/>
    </w:pPr>
  </w:style>
  <w:style w:type="character" w:styleId="a5">
    <w:name w:val="Strong"/>
    <w:basedOn w:val="a0"/>
    <w:uiPriority w:val="22"/>
    <w:qFormat/>
    <w:rsid w:val="00E369BC"/>
    <w:rPr>
      <w:b/>
      <w:bCs/>
    </w:rPr>
  </w:style>
  <w:style w:type="table" w:styleId="a6">
    <w:name w:val="Table Grid"/>
    <w:basedOn w:val="a1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20769D"/>
  </w:style>
  <w:style w:type="paragraph" w:styleId="a9">
    <w:name w:val="footer"/>
    <w:basedOn w:val="a"/>
    <w:link w:val="aa"/>
    <w:uiPriority w:val="99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769D"/>
  </w:style>
  <w:style w:type="paragraph" w:customStyle="1" w:styleId="PaginaIntestazione">
    <w:name w:val="Pagina Intestazione"/>
    <w:basedOn w:val="a7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b">
    <w:name w:val="page number"/>
    <w:basedOn w:val="a0"/>
    <w:unhideWhenUsed/>
    <w:rsid w:val="0020769D"/>
    <w:rPr>
      <w:b/>
      <w:bCs w:val="0"/>
    </w:rPr>
  </w:style>
  <w:style w:type="paragraph" w:styleId="ac">
    <w:name w:val="Balloon Text"/>
    <w:basedOn w:val="a"/>
    <w:link w:val="ad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0769D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0D5AB7"/>
    <w:pPr>
      <w:spacing w:after="120"/>
    </w:pPr>
    <w:rPr>
      <w:rFonts w:ascii="Calibri" w:eastAsia="Times New Roman" w:hAnsi="Calibri" w:cs="Times New Roman"/>
    </w:rPr>
  </w:style>
  <w:style w:type="character" w:customStyle="1" w:styleId="af">
    <w:name w:val="Основной текст Знак"/>
    <w:basedOn w:val="a0"/>
    <w:link w:val="ae"/>
    <w:uiPriority w:val="99"/>
    <w:rsid w:val="000D5AB7"/>
    <w:rPr>
      <w:rFonts w:ascii="Calibri" w:eastAsia="Times New Roman" w:hAnsi="Calibri" w:cs="Times New Roman"/>
      <w:lang w:val="en-US" w:eastAsia="en-US"/>
    </w:rPr>
  </w:style>
  <w:style w:type="paragraph" w:customStyle="1" w:styleId="11">
    <w:name w:val="Без интервала1"/>
    <w:rsid w:val="000D5AB7"/>
    <w:pPr>
      <w:spacing w:after="0" w:line="240" w:lineRule="auto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DefaultParagraphFont"/>
    <w:rsid w:val="008852A6"/>
  </w:style>
  <w:style w:type="character" w:customStyle="1" w:styleId="a">
    <w:name w:val="a"/>
    <w:basedOn w:val="DefaultParagraphFont"/>
    <w:rsid w:val="00F36FA6"/>
  </w:style>
  <w:style w:type="character" w:customStyle="1" w:styleId="l10">
    <w:name w:val="l10"/>
    <w:basedOn w:val="DefaultParagraphFont"/>
    <w:rsid w:val="00F36FA6"/>
  </w:style>
  <w:style w:type="character" w:customStyle="1" w:styleId="l11">
    <w:name w:val="l11"/>
    <w:basedOn w:val="DefaultParagraphFont"/>
    <w:rsid w:val="00F36FA6"/>
  </w:style>
  <w:style w:type="character" w:customStyle="1" w:styleId="l7">
    <w:name w:val="l7"/>
    <w:basedOn w:val="DefaultParagraphFont"/>
    <w:rsid w:val="00F36FA6"/>
  </w:style>
  <w:style w:type="paragraph" w:styleId="ListParagraph">
    <w:name w:val="List Paragraph"/>
    <w:basedOn w:val="Normal"/>
    <w:uiPriority w:val="34"/>
    <w:qFormat/>
    <w:rsid w:val="00F36FA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369BC"/>
    <w:rPr>
      <w:b/>
      <w:bCs/>
    </w:rPr>
  </w:style>
  <w:style w:type="table" w:styleId="TableGrid">
    <w:name w:val="Table Grid"/>
    <w:basedOn w:val="TableNormal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0769D"/>
  </w:style>
  <w:style w:type="paragraph" w:styleId="Footer">
    <w:name w:val="footer"/>
    <w:basedOn w:val="Normal"/>
    <w:link w:val="FooterChar"/>
    <w:uiPriority w:val="99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69D"/>
  </w:style>
  <w:style w:type="paragraph" w:customStyle="1" w:styleId="PaginaIntestazione">
    <w:name w:val="Pagina Intestazione"/>
    <w:basedOn w:val="Header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PageNumber">
    <w:name w:val="page number"/>
    <w:basedOn w:val="DefaultParagraphFont"/>
    <w:unhideWhenUsed/>
    <w:rsid w:val="0020769D"/>
    <w:rPr>
      <w:b/>
      <w:bCs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69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0D5AB7"/>
    <w:pPr>
      <w:spacing w:after="120"/>
    </w:pPr>
    <w:rPr>
      <w:rFonts w:ascii="Calibri" w:eastAsia="Times New Roman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99"/>
    <w:rsid w:val="000D5AB7"/>
    <w:rPr>
      <w:rFonts w:ascii="Calibri" w:eastAsia="Times New Roman" w:hAnsi="Calibri" w:cs="Times New Roman"/>
      <w:lang w:val="en-US" w:eastAsia="en-US"/>
    </w:rPr>
  </w:style>
  <w:style w:type="paragraph" w:customStyle="1" w:styleId="1">
    <w:name w:val="Без интервала1"/>
    <w:rsid w:val="000D5AB7"/>
    <w:pPr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DD75D-9334-4A94-89C6-8C622DD93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1114</Words>
  <Characters>6352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7452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2016-01-20T13:01:00Z</cp:lastPrinted>
  <dcterms:created xsi:type="dcterms:W3CDTF">2016-01-25T10:18:00Z</dcterms:created>
  <dcterms:modified xsi:type="dcterms:W3CDTF">2016-01-29T10:30:00Z</dcterms:modified>
</cp:coreProperties>
</file>